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ACF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60A8312">
      <w:pPr>
        <w:pStyle w:val="11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年单位预算公开情况说明</w:t>
      </w:r>
    </w:p>
    <w:p w14:paraId="7175C945">
      <w:pPr>
        <w:rPr>
          <w:sz w:val="36"/>
          <w:szCs w:val="36"/>
        </w:rPr>
      </w:pPr>
    </w:p>
    <w:p w14:paraId="50906558"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 w14:paraId="66CEBDB3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4AAA9EF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一、单位主要职责</w:t>
      </w:r>
    </w:p>
    <w:p w14:paraId="07395962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10D93BE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23E64F0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00C5D310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350C8DB2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3DF8A8E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0222050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67BFD1F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31E846E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73769EE2">
      <w:pPr>
        <w:pStyle w:val="10"/>
        <w:rPr>
          <w:sz w:val="36"/>
          <w:szCs w:val="36"/>
        </w:rPr>
      </w:pPr>
    </w:p>
    <w:p w14:paraId="056526B9">
      <w:pPr>
        <w:pStyle w:val="10"/>
        <w:rPr>
          <w:sz w:val="36"/>
          <w:szCs w:val="36"/>
        </w:rPr>
      </w:pPr>
    </w:p>
    <w:p w14:paraId="59D4ABAC">
      <w:pPr>
        <w:pStyle w:val="10"/>
        <w:rPr>
          <w:sz w:val="36"/>
          <w:szCs w:val="36"/>
        </w:rPr>
      </w:pPr>
    </w:p>
    <w:p w14:paraId="1F1A7FA6">
      <w:pPr>
        <w:pStyle w:val="10"/>
        <w:rPr>
          <w:sz w:val="36"/>
          <w:szCs w:val="36"/>
        </w:rPr>
      </w:pPr>
    </w:p>
    <w:p w14:paraId="5F844020">
      <w:pPr>
        <w:pStyle w:val="10"/>
        <w:rPr>
          <w:sz w:val="36"/>
          <w:szCs w:val="36"/>
        </w:rPr>
      </w:pPr>
    </w:p>
    <w:p w14:paraId="28DB1AB4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1CE751AE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579EB26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一、单位主要职责</w:t>
      </w:r>
    </w:p>
    <w:p w14:paraId="1E85CB57">
      <w:pPr>
        <w:spacing w:line="60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竹溪县人民法院是国家审判机关，在中共竹溪县委的领导下，对竹溪县人民代表大会及其常务委员会负责并报告工作。其主要职责是：依法审判第一审刑事、民事、行政案件和上级人民法院交由审判的案件；按照审判监督程序审理当事人提出的申诉、申请再审和人民检察院提出抗诉的刑事、民事、行政再审案件；执行和协调执行已发生法律效力的判决、裁定和委托执行的案件以及国家行政机关依法申请执行的案件；调查研究审判工作中适用法律、执行政策的疑难问题，提出解决问题的办法、意见和司法建议，开展司法统计和司法建议工作，参与社会治安综合治理工作；抓好本院思想政治、教育培训、法治宣传和队伍建设工作；按照权限管理法官和其他工作人员；协同县机构编制主管部门管理本院的机构编制工作；负责本院的财务、装备、技术、鉴定等工作，并负责有关经费和物资装备的管理工作；承办其他应由本院负责的工作。</w:t>
      </w:r>
    </w:p>
    <w:p w14:paraId="2065BC7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7EE254AA"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本单位本级内设机构有综合办公室、政治部（机关党委、督察室）、立案庭（诉讼服务中心）、刑事审判庭、民事审判庭、行政审判庭、执行局、审判管理办公室（研究室）、司法警察大队、蒋家堰人民法庭、中峰人民法庭、水坪人民法庭、新洲人民法庭、泉溪人民法庭、向坝人民法庭。</w:t>
      </w:r>
    </w:p>
    <w:p w14:paraId="1D5BABCB"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本单位无独立预算二级单位。</w:t>
      </w:r>
    </w:p>
    <w:p w14:paraId="0DECFF6A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6F63E045"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年预算收入28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5.46万元，比上年减少1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0.36万元，减少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3.7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，主要原因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一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是</w:t>
      </w:r>
      <w:bookmarkStart w:id="0" w:name="_GoBack"/>
      <w:bookmarkEnd w:id="0"/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配套资金等其他收入较上年减少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175.54万元，二是因城关法庭建设尚未竣工验收，按合同约定按进度支付，2025年度结转结余资金增加60万元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。其中：一般公共预算拨款收入2805.46万元,比上年增加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5.18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0.2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；其他收入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万元,比上年减少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175.54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100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</w:t>
      </w:r>
    </w:p>
    <w:p w14:paraId="098ED7F1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年预算支出28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5.46万元，比上年减少1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0.36万元，减少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3.7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。其中：公共安全支出2,399.56万元，比上年减少135.96万元，减少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5.4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社会保障和就业支出322.70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9.75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2.7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住房保障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支出143.20万元，比上年增加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34.35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24.0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35B853CC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hAnsi="Calibri" w:eastAsia="仿宋_GB2312" w:cs="Times New Roman"/>
          <w:sz w:val="32"/>
          <w:szCs w:val="32"/>
        </w:rPr>
        <w:t>的主要原因：</w:t>
      </w:r>
    </w:p>
    <w:p w14:paraId="191FFC3C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（1）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年基本支出2096.36万元，比上年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50.05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2.4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人员职级晋级晋档等原因，人员经费正常增加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358E7C02"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年项目支出769.10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160.41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20.9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主要原因是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地方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配套资金等其他收入较上年减少175.54万元。</w:t>
      </w:r>
    </w:p>
    <w:p w14:paraId="254AD7A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3C0C03BF">
      <w:pPr>
        <w:autoSpaceDE w:val="0"/>
        <w:autoSpaceDN w:val="0"/>
        <w:adjustRightInd w:val="0"/>
        <w:spacing w:line="600" w:lineRule="exact"/>
        <w:ind w:firstLine="660" w:firstLineChars="200"/>
        <w:rPr>
          <w:rFonts w:ascii="仿宋_GB2312" w:hAnsi="宋体" w:eastAsia="仿宋_GB2312" w:cs=".PingFang-SC-Light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年机关运行经费209.80万元，较上年相比增加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12.93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6.6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，增加主要原因是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根据预算编报要求，确保预算编制准确，水电费用调整至基本支出预算列支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</w:rPr>
        <w:t>其中：办公费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32"/>
          <w:szCs w:val="32"/>
        </w:rPr>
        <w:t>万元、水费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</w:rPr>
        <w:t>万元、电费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32"/>
          <w:szCs w:val="32"/>
        </w:rPr>
        <w:t>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差旅</w:t>
      </w:r>
      <w:r>
        <w:rPr>
          <w:rFonts w:hint="eastAsia" w:ascii="仿宋_GB2312" w:hAnsi="宋体" w:eastAsia="仿宋_GB2312" w:cs="Times New Roman"/>
          <w:sz w:val="32"/>
          <w:szCs w:val="32"/>
        </w:rPr>
        <w:t>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32"/>
          <w:szCs w:val="32"/>
        </w:rPr>
        <w:t>万元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、维修（护）费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17万元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、公务接待费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万元、劳务费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1万元、委托业务费3万元、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工会经费4万元、公务用车运行维护费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其他交通费用7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5.2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万元、其他商品及服务支出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46.4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仿宋_GB2312" w:hAnsi="宋体" w:eastAsia="仿宋_GB2312" w:cs=".PingFang-SC-Light"/>
          <w:kern w:val="0"/>
          <w:sz w:val="32"/>
          <w:szCs w:val="32"/>
        </w:rPr>
        <w:t>。</w:t>
      </w:r>
    </w:p>
    <w:p w14:paraId="431D726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224F8B05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年“三公”经费财政拨款预算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79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万元，比上年预算增加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33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41.8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。其中：</w:t>
      </w:r>
    </w:p>
    <w:p w14:paraId="5D4C2B81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因公出国（境）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较上年无变化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36CBE289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减少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4.8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根据公务接待新规定要求，市内不予接待，调减接待费用支出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6411582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77.8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37.8</w:t>
      </w:r>
      <w:r>
        <w:rPr>
          <w:rFonts w:hint="eastAsia" w:ascii="仿宋_GB2312" w:hAnsi="Calibri" w:eastAsia="仿宋_GB2312" w:cs="Times New Roman"/>
          <w:sz w:val="32"/>
          <w:szCs w:val="32"/>
        </w:rPr>
        <w:t>万元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，其中：公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37.8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万元，比上年增加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37.8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万元，主要原因是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eastAsia="zh-CN"/>
        </w:rPr>
        <w:t>根据本单位车辆使用情况及省财政厅批复，本年度预计跟换公务用车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2辆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。公务用车运行维护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较上年无变化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。</w:t>
      </w:r>
    </w:p>
    <w:p w14:paraId="2769CA7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59DC0076">
      <w:pPr>
        <w:spacing w:line="600" w:lineRule="exact"/>
        <w:ind w:firstLine="660" w:firstLineChars="200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竹溪县人民法院</w:t>
      </w:r>
      <w:r>
        <w:rPr>
          <w:rFonts w:hint="eastAsia" w:ascii="仿宋_GB2312" w:hAnsi="Calibri" w:eastAsia="仿宋_GB2312" w:cs="Times New Roman"/>
          <w:sz w:val="32"/>
          <w:szCs w:val="32"/>
        </w:rPr>
        <w:t>编制政府采购预算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167.36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万元，比上年度减少47.58万元，减少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28.4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，主要原因是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减少</w:t>
      </w:r>
      <w:r>
        <w:rPr>
          <w:rFonts w:hint="eastAsia" w:ascii="仿宋_GB2312" w:hAnsi="Calibri" w:eastAsia="仿宋_GB2312" w:cs="Times New Roman"/>
          <w:sz w:val="32"/>
          <w:szCs w:val="32"/>
        </w:rPr>
        <w:t>城关镇人民法庭购置需求办公设备。其中：货物类政府采购预算85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.82</w:t>
      </w:r>
      <w:r>
        <w:rPr>
          <w:rFonts w:hint="eastAsia" w:ascii="仿宋_GB2312" w:hAnsi="Calibri" w:eastAsia="仿宋_GB2312" w:cs="Times New Roman"/>
          <w:sz w:val="32"/>
          <w:szCs w:val="32"/>
        </w:rPr>
        <w:t>万元，主要用于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2辆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公务用车购置及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科技法庭设备购置</w:t>
      </w:r>
      <w:r>
        <w:rPr>
          <w:rFonts w:hint="eastAsia" w:ascii="仿宋_GB2312" w:hAnsi="Calibri" w:eastAsia="仿宋_GB2312" w:cs="Times New Roman"/>
          <w:sz w:val="32"/>
          <w:szCs w:val="32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主要用于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县河等人民法庭大型修缮</w:t>
      </w:r>
      <w:r>
        <w:rPr>
          <w:rFonts w:hint="eastAsia" w:ascii="仿宋_GB2312" w:hAnsi="Calibri" w:eastAsia="仿宋_GB2312" w:cs="Times New Roman"/>
          <w:sz w:val="32"/>
          <w:szCs w:val="32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37.9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主要用于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审判大楼及人民法庭物业管理费用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02C70422">
      <w:pPr>
        <w:spacing w:line="600" w:lineRule="exact"/>
        <w:ind w:firstLine="660" w:firstLineChars="200"/>
        <w:rPr>
          <w:rFonts w:ascii="仿宋_GB2312" w:hAnsi="MS Mincho" w:eastAsia="仿宋_GB2312" w:cs="MS Mincho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年，面向中小企业采购预算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198.72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万元，其中面向小微企业采购预算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52.72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万元。</w:t>
      </w:r>
    </w:p>
    <w:p w14:paraId="4A1DE41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40ACCA27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截至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12月31日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竹溪县人民法院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占有房屋面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积13216.95平方米，其中：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办公用房建筑面积2037平方米，其他11179.95平方米。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辆，其中：副省级及以上领导干部用车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辆、主要领导干部用车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辆、机要通信用车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辆、应急保障用车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辆、执法执勤用车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辆、特种专业技术用车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辆、其他用车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万元以上的通用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台（套），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100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数量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台（套）。</w:t>
      </w:r>
    </w:p>
    <w:p w14:paraId="6EA08D8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224F119D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“办案业务专项经费”项目主要内容是，为保障审判工作的正常运行,根据202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微软雅黑"/>
          <w:sz w:val="32"/>
          <w:szCs w:val="32"/>
        </w:rPr>
        <w:t>年实际情况需增加办公费用、水电费用、印刷费、邮电费用、劳务费、公务用车运行维护费、差旅费、办公设备购置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微软雅黑"/>
          <w:sz w:val="32"/>
          <w:szCs w:val="32"/>
        </w:rPr>
        <w:t>人民陪审员工资等。202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微软雅黑"/>
          <w:sz w:val="32"/>
          <w:szCs w:val="32"/>
        </w:rPr>
        <w:t>年预算安排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408.93</w:t>
      </w:r>
      <w:r>
        <w:rPr>
          <w:rFonts w:hint="eastAsia" w:ascii="仿宋_GB2312" w:hAnsi="微软雅黑" w:eastAsia="仿宋_GB2312" w:cs="微软雅黑"/>
          <w:sz w:val="32"/>
          <w:szCs w:val="32"/>
        </w:rPr>
        <w:t>万元，资金来源为一般公共预算财政拨款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348.93</w:t>
      </w:r>
      <w:r>
        <w:rPr>
          <w:rFonts w:hint="eastAsia" w:ascii="仿宋_GB2312" w:hAnsi="微软雅黑" w:eastAsia="仿宋_GB2312" w:cs="微软雅黑"/>
          <w:sz w:val="32"/>
          <w:szCs w:val="32"/>
        </w:rPr>
        <w:t>万元及单位资金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60</w:t>
      </w:r>
      <w:r>
        <w:rPr>
          <w:rFonts w:hint="eastAsia" w:ascii="仿宋_GB2312" w:hAnsi="微软雅黑" w:eastAsia="仿宋_GB2312" w:cs="微软雅黑"/>
          <w:sz w:val="32"/>
          <w:szCs w:val="32"/>
        </w:rPr>
        <w:t>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14661111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项目绩效年度目标：集中精力和资源全力办好案件，妥善运用司法手段化解社会矛盾、保护群众利益、促进社会和保障经济发展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5467B8EB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数量指标：案件结案率≥95%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57C0122E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质量指标：二审改判-发回重审比≤20%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1D963F60">
      <w:pPr>
        <w:spacing w:line="6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成本指标：项目成本控制率≤100%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5580CBEA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社会效益指标：保障当事人合法权益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，维护社会大局稳定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79D94889"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服务对象满意度：</w:t>
      </w:r>
      <w:r>
        <w:rPr>
          <w:rFonts w:hint="eastAsia" w:ascii="仿宋_GB2312" w:hAnsi="Calibri" w:eastAsia="仿宋_GB2312" w:cs="Times New Roman"/>
          <w:sz w:val="32"/>
          <w:szCs w:val="32"/>
        </w:rPr>
        <w:t>诉讼服务满意度≥9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>普法活动群众满意度≥9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7F97EF5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3145DA65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 w14:paraId="36795049">
      <w:pPr>
        <w:pStyle w:val="5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我单位202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年无政府性基金支出,故表8《政府性基金预算支出表》为空表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6694369F"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（二）一般公共预算委托业务费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362.41万元，比上年减少3.09万元，原因为第三方审计、监理等费用支出减少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42DE16D7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）其他情况说明</w:t>
      </w:r>
    </w:p>
    <w:p w14:paraId="7979B50F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无其他需要说明的情况。</w:t>
      </w:r>
    </w:p>
    <w:p w14:paraId="6E6E710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45F67D41"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724D7522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64FF636F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5BAEE74F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5FF3712E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606DB5C2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6CE1EA22"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 w14:paraId="4A760419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2B8E92F7">
      <w:pPr>
        <w:rPr>
          <w:rFonts w:ascii="楷体" w:hAnsi="楷体" w:eastAsia="楷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-SC-Ligh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1759"/>
      <w:docPartObj>
        <w:docPartGallery w:val="autotext"/>
      </w:docPartObj>
    </w:sdtPr>
    <w:sdtContent>
      <w:p w14:paraId="5167582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B96D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89"/>
    <w:rsid w:val="00055BEB"/>
    <w:rsid w:val="00060D09"/>
    <w:rsid w:val="00072904"/>
    <w:rsid w:val="00114122"/>
    <w:rsid w:val="0012200C"/>
    <w:rsid w:val="00136774"/>
    <w:rsid w:val="001C3EAF"/>
    <w:rsid w:val="00226513"/>
    <w:rsid w:val="002B4495"/>
    <w:rsid w:val="002F33FB"/>
    <w:rsid w:val="002F6F6D"/>
    <w:rsid w:val="00385F85"/>
    <w:rsid w:val="003C73DF"/>
    <w:rsid w:val="00433851"/>
    <w:rsid w:val="004744D9"/>
    <w:rsid w:val="00487CE2"/>
    <w:rsid w:val="004D570C"/>
    <w:rsid w:val="005536F5"/>
    <w:rsid w:val="00557866"/>
    <w:rsid w:val="005C77B5"/>
    <w:rsid w:val="005C7BA1"/>
    <w:rsid w:val="0060440D"/>
    <w:rsid w:val="00797E97"/>
    <w:rsid w:val="00801F95"/>
    <w:rsid w:val="00805623"/>
    <w:rsid w:val="00816B94"/>
    <w:rsid w:val="00844FD5"/>
    <w:rsid w:val="00856EE7"/>
    <w:rsid w:val="00880CE2"/>
    <w:rsid w:val="00897403"/>
    <w:rsid w:val="00952909"/>
    <w:rsid w:val="009A5906"/>
    <w:rsid w:val="009F6B89"/>
    <w:rsid w:val="00A000FA"/>
    <w:rsid w:val="00AA6381"/>
    <w:rsid w:val="00B8515F"/>
    <w:rsid w:val="00B94603"/>
    <w:rsid w:val="00BF7F5F"/>
    <w:rsid w:val="00C917E3"/>
    <w:rsid w:val="00D20E9A"/>
    <w:rsid w:val="00D36EFE"/>
    <w:rsid w:val="00D51AFC"/>
    <w:rsid w:val="00EF6B62"/>
    <w:rsid w:val="00FB1392"/>
    <w:rsid w:val="00FE04E2"/>
    <w:rsid w:val="107C7A2B"/>
    <w:rsid w:val="12BD09B5"/>
    <w:rsid w:val="1C316EDE"/>
    <w:rsid w:val="20BF50C8"/>
    <w:rsid w:val="30132C99"/>
    <w:rsid w:val="3B08017A"/>
    <w:rsid w:val="5EEFA727"/>
    <w:rsid w:val="9F7F4796"/>
    <w:rsid w:val="A77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2889</Words>
  <Characters>3200</Characters>
  <Lines>25</Lines>
  <Paragraphs>7</Paragraphs>
  <TotalTime>58</TotalTime>
  <ScaleCrop>false</ScaleCrop>
  <LinksUpToDate>false</LinksUpToDate>
  <CharactersWithSpaces>3210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2022-02-18T19:51:00Z</dcterms:created>
  <dc:creator>Lenovo</dc:creator>
  <cp:lastModifiedBy>完美缺陷</cp:lastModifiedBy>
  <cp:lastPrinted>2024-03-01T18:19:00Z</cp:lastPrinted>
  <dcterms:modified xsi:type="dcterms:W3CDTF">2026-02-28T08:17:59Z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4432F4C10432C3BAE47A89699F4D32EC</vt:lpwstr>
  </property>
  <property fmtid="{D5CDD505-2E9C-101B-9397-08002B2CF9AE}" pid="4" name="KSOTemplateDocerSaveRecord">
    <vt:lpwstr>eyJoZGlkIjoiOTI3MTliZjJiYzM1ZDRhY2VjODMxNjMwMGM1ZTE0YjIiLCJ1c2VySWQiOiI0NjE5MTEwNDAifQ==</vt:lpwstr>
  </property>
</Properties>
</file>